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Premium Brand 2018 – wystartowała XIII edycja badania reputacji marki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Ruszyła XIII edycja projektu Premium Brand, badającego reputację marek i firm obecnych na polskim rynku. Nabór do najbliższego badania potrwa do 28 lutego 2018 roku. Partnerem merytorycznym tegorocznej edycji jest Press Service Monitoring Mediów.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reputacji marki Premium Brand obejmuje ponad 200 marek i firm w 20 kategoriach przypisanych produktom i usługom. Realizowane jest na ogólnopolskiej próbie niemal 10 000 konsumentów. Wyłania marki i firmy cieszące się wysoką reputacją. Najbliższe badanie zostanie przeprowadzone w marcu 2018 roku. Laureaci – liderzy poszczególnych kategorii z najlepszymi wynikami, zostaną ogłoszeni w kwietniu 2018 r. podczas gali finałowej projektu.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reputacji marki przeprowadzane jest na podstawie metodologii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opracowanej przez profesor Uniwersytetu Warszawskiego Dominikę Maison, znaną i cenioną ekspertkę w dziedzinie zachowań konsumenckich. Pomiar reputacji marki jest realizowany wśród osób znających daną markę lub firmę, które dokonują oceny w pięciu wymiarach, takich jak: </w:t>
      </w:r>
      <w:r>
        <w:rPr>
          <w:rFonts w:ascii="calibri" w:hAnsi="calibri" w:eastAsia="calibri" w:cs="calibri"/>
          <w:sz w:val="24"/>
          <w:szCs w:val="24"/>
          <w:b/>
        </w:rPr>
        <w:t xml:space="preserve">zaufanie</w:t>
      </w:r>
      <w:r>
        <w:rPr>
          <w:rFonts w:ascii="calibri" w:hAnsi="calibri" w:eastAsia="calibri" w:cs="calibri"/>
          <w:sz w:val="24"/>
          <w:szCs w:val="24"/>
        </w:rPr>
        <w:t xml:space="preserve"> do marki, referencja (</w:t>
      </w:r>
      <w:r>
        <w:rPr>
          <w:rFonts w:ascii="calibri" w:hAnsi="calibri" w:eastAsia="calibri" w:cs="calibri"/>
          <w:sz w:val="24"/>
          <w:szCs w:val="24"/>
          <w:b/>
        </w:rPr>
        <w:t xml:space="preserve">lojalność</w:t>
      </w:r>
      <w:r>
        <w:rPr>
          <w:rFonts w:ascii="calibri" w:hAnsi="calibri" w:eastAsia="calibri" w:cs="calibri"/>
          <w:sz w:val="24"/>
          <w:szCs w:val="24"/>
        </w:rPr>
        <w:t xml:space="preserve"> wobec marki), </w:t>
      </w:r>
      <w:r>
        <w:rPr>
          <w:rFonts w:ascii="calibri" w:hAnsi="calibri" w:eastAsia="calibri" w:cs="calibri"/>
          <w:sz w:val="24"/>
          <w:szCs w:val="24"/>
          <w:b/>
        </w:rPr>
        <w:t xml:space="preserve">atmosfera medialna</w:t>
      </w:r>
      <w:r>
        <w:rPr>
          <w:rFonts w:ascii="calibri" w:hAnsi="calibri" w:eastAsia="calibri" w:cs="calibri"/>
          <w:sz w:val="24"/>
          <w:szCs w:val="24"/>
        </w:rPr>
        <w:t xml:space="preserve"> (towarzysząca marce), </w:t>
      </w:r>
      <w:r>
        <w:rPr>
          <w:rFonts w:ascii="calibri" w:hAnsi="calibri" w:eastAsia="calibri" w:cs="calibri"/>
          <w:sz w:val="24"/>
          <w:szCs w:val="24"/>
          <w:b/>
        </w:rPr>
        <w:t xml:space="preserve">zaangażowanie społeczne</w:t>
      </w:r>
      <w:r>
        <w:rPr>
          <w:rFonts w:ascii="calibri" w:hAnsi="calibri" w:eastAsia="calibri" w:cs="calibri"/>
          <w:sz w:val="24"/>
          <w:szCs w:val="24"/>
        </w:rPr>
        <w:t xml:space="preserve"> (CSR), </w:t>
      </w:r>
      <w:r>
        <w:rPr>
          <w:rFonts w:ascii="calibri" w:hAnsi="calibri" w:eastAsia="calibri" w:cs="calibri"/>
          <w:sz w:val="24"/>
          <w:szCs w:val="24"/>
          <w:b/>
        </w:rPr>
        <w:t xml:space="preserve">wizerunek</w:t>
      </w:r>
      <w:r>
        <w:rPr>
          <w:rFonts w:ascii="calibri" w:hAnsi="calibri" w:eastAsia="calibri" w:cs="calibri"/>
          <w:sz w:val="24"/>
          <w:szCs w:val="24"/>
        </w:rPr>
        <w:t xml:space="preserve"> marki (firmy) jako </w:t>
      </w:r>
      <w:r>
        <w:rPr>
          <w:rFonts w:ascii="calibri" w:hAnsi="calibri" w:eastAsia="calibri" w:cs="calibri"/>
          <w:sz w:val="24"/>
          <w:szCs w:val="24"/>
          <w:b/>
        </w:rPr>
        <w:t xml:space="preserve">pracodawcy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39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pict>
          <v:shape type="#_x0000_t75" style="width:400px; height:39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podstawie uzyskanych wyników dla każdej marki jest obliczany wskaźnik reputacji, który przyjmuje wartość w zakresie od 1 do 100 punktów. </w:t>
      </w:r>
      <w:r>
        <w:rPr>
          <w:rFonts w:ascii="calibri" w:hAnsi="calibri" w:eastAsia="calibri" w:cs="calibri"/>
          <w:sz w:val="24"/>
          <w:szCs w:val="24"/>
          <w:b/>
        </w:rPr>
        <w:t xml:space="preserve">Tytuł Marki/Firmy Wysokiej Reputacji Premium Brand </w:t>
      </w:r>
      <w:r>
        <w:rPr>
          <w:rFonts w:ascii="calibri" w:hAnsi="calibri" w:eastAsia="calibri" w:cs="calibri"/>
          <w:sz w:val="24"/>
          <w:szCs w:val="24"/>
        </w:rPr>
        <w:t xml:space="preserve">jest przyznawany wyłącznie wtedy, gdy wskaźnik reputacji wynosi minimum 60 punktów. Udział w projekcie daje możliwość pozyskania wartościowych danych. Każda marka uczestnicząca w badaniu otrzymuje szczegółowy raport, prezentujący jej wyniki na tle konkurencji.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Premium Brand ma na celu wspomaganie marek i firm o wysokiej reputacji w działaniach promocyjnych. Organizatorem projektu jest Fundacja na rzecz reputacji marki „Premium Brand”. </w:t>
      </w:r>
      <w:r>
        <w:rPr>
          <w:rFonts w:ascii="calibri" w:hAnsi="calibri" w:eastAsia="calibri" w:cs="calibri"/>
          <w:sz w:val="24"/>
          <w:szCs w:val="24"/>
          <w:b/>
        </w:rPr>
        <w:t xml:space="preserve">Badanie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reputacji prowadzi agencja badawcza Maison&amp;Partners na Ogólnopolskim Panelu Badawczym Ariadna. Zgłoszenia marki lub firmy do udziału w badaniu można dokonać za pomocą formularza dostępnego na stronie internetowej projektu pod adresem: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www.premiumbrand.com.pl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yperlink" Target="http://www.premiumbrand.com.pl" TargetMode="External"/><Relationship Id="rId10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2024-04-26T17:03:37+02:00</dcterms:created>
  <dcterms:modified xsi:type="dcterms:W3CDTF">2024-04-26T17:03:37+02:00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