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HEXATIAB® – pierwsza pomoc w leczeniu infekcji intymnych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Infekcje intymne to jedne z najpopularniejszych problemów ginekologicznych, z którymi borykają się kobiety w każdym wieku. Niestety, nawet do 40% zakażeń powraca już w ciągu roku. W walce z infekcjami bakteryjnymi, grzybicznymi i wirusowymi skutecznie pomogą kapsułki dopochwowe HEXATIAB® – wyrób medyczny rekomendowany przez specjalistów* z aktywnym srebrem TIAB.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Infekcje intymne są najczęstszą dolegliwością, z którą kobiety zgłaszają się do ginekologa. Przyczyn zakażeń może być wiele. Są to m.in. niewłaściwa higiena, nieprawidłowa mikroflora pochwy, przypadkowe kontakty seksualne czy przyjmowanie niektórych leków. Zakażenie wirusowe, bakteryjne i grzybiczne wiąże się z nieco innymi objawami, jednak najczęstszymi są nieprzyjemny zapach, swędzenie, pieczenie w miejscu intymnym, upławy i bóle przy oddawaniu moczu.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Skuteczną pomocą w leczeniu infekcji bakteryjnych, wirusowych i grzybicznych jest HEXATIAB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 </w:t>
      </w:r>
      <w:r>
        <w:rPr>
          <w:rFonts w:ascii="calibri" w:hAnsi="calibri" w:eastAsia="calibri" w:cs="calibri"/>
          <w:sz w:val="24"/>
          <w:szCs w:val="24"/>
        </w:rPr>
        <w:t xml:space="preserve">- szybko rozpuszczające się kapsułki dopochwowe. Rekomendowany przez specjalistów* wyrób medyczny, zawiera m.in. cząsteczki aktywnego srebra TIAB, które dzięki swoim właściwościom pełnią rolę bariery ochronnej przed drobnoustrojami z zewnątrz.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 wspomaga również walkę z opryszczką narządów płciowych i brodawki narządów płciowych. Sprawdzi się także w leczeniu zmian poporodowych.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Kapsułki dopochwowe HEXATIAB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należy stosować po wystąpieniu pierwszych objawów przez okres od 7 do maksymalnie 10 dni. Wyrób medyczny może być używany również przez kobiety w ciąży (na zalecenie i pod kontrolą lekarza). Opakowanie HEXATIAB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zawiera 10 kapsułek dopochwowych. Produkt należy przechowywać w temperaturze do 25</w:t>
      </w:r>
      <w:r>
        <w:rPr>
          <w:rFonts w:ascii="calibri" w:hAnsi="calibri" w:eastAsia="calibri" w:cs="calibri"/>
          <w:sz w:val="24"/>
          <w:szCs w:val="24"/>
        </w:rPr>
        <w:t xml:space="preserve">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Producent:</w:t>
      </w:r>
      <w:r>
        <w:rPr>
          <w:rFonts w:ascii="calibri" w:hAnsi="calibri" w:eastAsia="calibri" w:cs="calibri"/>
          <w:sz w:val="24"/>
          <w:szCs w:val="24"/>
          <w:b/>
        </w:rPr>
        <w:t xml:space="preserve"> Hexanova</w:t>
      </w:r>
      <w:r>
        <w:rPr>
          <w:rFonts w:ascii="calibri" w:hAnsi="calibri" w:eastAsia="calibri" w:cs="calibri"/>
          <w:sz w:val="24"/>
          <w:szCs w:val="24"/>
        </w:rPr>
        <w:t xml:space="preserve"> 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www.hexanova.pl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Produkt: Hexatiab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, kapsułki dopochwowe, 10 szt.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ok. 35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(*) Analiza przypadków. Ginekologia i położnictwo: Stanowisko Zespołu Ekspertów na temat zastosowania wyrobu medycznego HEXATIAB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SOFTGEL w przypadkach infekcji pochwy, PZWL 4/2018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hexanov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2024-04-24T09:56:04+02:00</dcterms:created>
  <dcterms:modified xsi:type="dcterms:W3CDTF">2024-04-24T09:56:04+02:00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