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kampania reklamowa marki Grześki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maja ruszyła kampania reklamowa Grześków, promująca kultowe Grześki kakaowe w czekoladzie i najnowszą propozycję marki - Grześki Gofree. Prowadzona pod hasłem „Lekkości im nie odmówisz”, komunikacja realizowana równolegle w telewizji, Internecie, na nośnikach outdoorowych, w kinach i punktach sprzedaży potrwa do końca czerwca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Grześki wystartowała z aktywnościami reklamowymi pod hasłem „Lekkości im nie odmówisz”. W najnowszej kampanii promuje kultowe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kakaowe w czekoladzie </w:t>
      </w:r>
      <w:r>
        <w:rPr>
          <w:rFonts w:ascii="calibri" w:hAnsi="calibri" w:eastAsia="calibri" w:cs="calibri"/>
          <w:sz w:val="24"/>
          <w:szCs w:val="24"/>
        </w:rPr>
        <w:t xml:space="preserve">i swoją najnowszą propozycję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Gofree</w:t>
      </w:r>
      <w:r>
        <w:rPr>
          <w:rFonts w:ascii="calibri" w:hAnsi="calibri" w:eastAsia="calibri" w:cs="calibri"/>
          <w:sz w:val="24"/>
          <w:szCs w:val="24"/>
        </w:rPr>
        <w:t xml:space="preserve">, które są jedynymi wafelkami na rynku o lekkiej strukturze gofra z dwoma rodzajami kremów. Działania ukazują Grześki jako nowoczesną markę, dzięki której można odnaleźć w sobie wewnętrzne dziecko oraz poczuć radość i beztroskę każdego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Aktywności obejmują telewizję, Internet, reklamę outdoorową, emisje spotów w sieci kin Multikino oraz działania w placówkach handlowych. Spot reklamowy jest wyświetlany w ogólnopolskich stacjach telewizyjnych TVP, Polsat i TVN, a także kanałach tematycznych. Ponadto zaplanowano sponsoring wybranych programów TV. W Internecie prowadzone są aktywności w serwisach YouTube, Facebook i VoD oraz w wyszukiwarkach SEM. Reklama jest emitowana również na urządzeniach mobilnych. Kampania outdoorowa swoim zasięgiem obejmuje tablice OOH (frontlight 12x4 i 12x3) w ośmiu głównych miastach w Polsce. Akcja uzyskała wsparcie w punktach sprzedaży (standy, gazetki handlowe, końcówki regałów, ekspozycje w strefie kas). Działania potrwają do końca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www.grzeski.pl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https://youtu.be/0GK7nhV4sNk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Producentem spotu jest wytwórnia Opus Film. Strategię i kreację przygotowała agencja Just. Za planowanie i zakup mediów odpowiada dom mediowy Universal McCann. Za kreacje w mediach społecznościowych odpowiada agencja Gong. Działania PR prowadzi agencja Kolterman Media Communications. Kampania trwa od 1 maja do 30 czerwca br.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zeski.pl" TargetMode="External"/><Relationship Id="rId8" Type="http://schemas.openxmlformats.org/officeDocument/2006/relationships/hyperlink" Target="https://youtu.be/0GK7nhV4s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2026-06-12T16:20:22+02:00</dcterms:created>
  <dcterms:modified xsi:type="dcterms:W3CDTF">2026-06-12T16:20:22+02:00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