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Rozstrzygnięto pierwszy w historii marki Śliwka Nałęczowska konkurs dla pasjonatów mody i designu!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660 prawidłowych zgłoszeń spłynęło na konkurs Design by Śliwka Nałęczowska skierowany do pasjonatów mody i designu. Jury pod przewodnictwem Lidii Kality po burzliwych dyskusjach wyłoniło 10 laureatów, którzy odebrali nagrody podczas uroczystej gali połączonej z wernisażem prac 14 czerwca br. w warszawskim studio Skandal.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zorganizowany przez polską markę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pralin z portfolio spółki Colian, trwał od 1 marca do 30 kwietnia br. Przez cały czas cieszył się ogromnym zainteresowaniem projektantów, grafików, pasjonatów mody, wzornictwa i designu, zarówno profesjonalistów, jak i amatorów. Zadaniem uczestników było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Spośród blisko tysiąca nadesłanych zgłoszeń, 661 projektów spełniało wszystkie kryteria formalne i zostało poddanych ocenie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nadesłanych prac mile zaskoczyła jurorów - Lidię Kalitę, projektantkę mody i przewodniczącą jury; Agnieszkę Stopyrę, cenioną ilustratorkę i graficzkę; Sonię Bohosiewicz, aktorkę, piosenkarkę i miłośniczkę designu oraz Paulinę Sykut-Jeżynę, dziennikarkę i pasjonatkę dobrego stylu. W ocenie Lidii Kality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nie tylko spełniały wymogi formalne, ale przede wszystkim zachwycały kreatywną interpretacją tematu, wysokim poziomem artystycznym i warsztatowym.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głównej została Katarzyna Brągiel. Zwycięzca pierwszego miejsca otrzymał nagrody w wysokości 10 tys. złotych i zestaw pralin. Laureaci drugiego i trzeciego miejsca odebrali nagrody finansowe (odpowiednio 7 tys. i 5 tys. złotych) oraz słodycze, a autorzy prac, które uplasowały się na pozycjach od czwartej do dziesiątej otrzymali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Konkurs okazał się wielkim sukcesem naszej marki, która udowadnia tym samym, że potrafi odnaleźć się w świecie mody i designu oraz dostarczyć inspiracji. Najlepsze projekty zostaną wykorzystane do stworzenia kolekcji gadżetów Śliwki Nałęczowskiej, które będą wykorzystywane w planowanych aktywacjach i działaniach promocyjnych, zaplanowanych dla nowej odsłony Śliwki Nałęczowskiej – </w:t>
      </w:r>
      <w:r>
        <w:rPr>
          <w:rFonts w:ascii="calibri" w:hAnsi="calibri" w:eastAsia="calibri" w:cs="calibri"/>
          <w:sz w:val="24"/>
          <w:szCs w:val="24"/>
        </w:rPr>
        <w:t xml:space="preserve">mówi Bożena Piotrowska, Marketing Project Manager w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Wręczeniu nagród towarzyszyła prezentacja nagrodzonych prac i nowej odsłony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Kultowe praliny od września będzie można nabyć w odświeżonych opakowaniach. Praliny będą dostępne w eleganckich prezentowych bombonierkach, gustownych kartonikach, poręcznych torebkach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otrzymał szerokie wsparcie medialne i PR-owe,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WP.pl,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2026-03-10T05:38:33+01:00</dcterms:created>
  <dcterms:modified xsi:type="dcterms:W3CDTF">2026-03-10T05:38:33+01:00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