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z promocją Śliwkobranie Złotobranie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startuje z akcją promocyjną Śliwkobranie Złotobranie. W punktach sprzedaży pojawią się dodatkowe niestandardowe ekspozycje Śliwki Nałęczowskiej. W loterii marki codziennie do wygrania będzie 100 śliwkowych złoconych zawieszek.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września rozpoczyna się promocja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Śliwkobranie Złotobranie</w:t>
      </w:r>
      <w:r>
        <w:rPr>
          <w:rFonts w:ascii="calibri" w:hAnsi="calibri" w:eastAsia="calibri" w:cs="calibri"/>
          <w:sz w:val="24"/>
          <w:szCs w:val="24"/>
        </w:rPr>
        <w:t xml:space="preserve">, dedykowana kultowym pralinom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W jej ramach w punktach handlowych znajdą się dodatkowe ekspozycje komunikujące naturalność i owocowość produktu. Przewidziano ogólnopolską loterię konsumencką, w której do zdobycia będą złocone zawieszki. Codziennie do wygrania będzie 100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śliwkowych </w:t>
      </w:r>
      <w:r>
        <w:rPr>
          <w:rFonts w:ascii="calibri" w:hAnsi="calibri" w:eastAsia="calibri" w:cs="calibri"/>
          <w:sz w:val="24"/>
          <w:szCs w:val="24"/>
        </w:rPr>
        <w:t xml:space="preserve">charmsów.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biorą udział wszystkie konfekcjonowane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, w tym dedykowany akcji kartonik 205 g, kształtem nawiązujący do owocu śliwki. Aby wziąć w niej udział, należy dokonać zakupu przynajmniej jednego promocyjnego produktu, zachować opakowanie i wysłać kod promocyjny spod naklejki lub wnętrza opakowania za pośrednictwem SMS. Zgłoszenia można przesyłać do końca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otrzyma silne wsparcie medialne. Zaplanowano działania w Internecie, które obejmą kampanię displayową, w wyszukiwarkach SEM, a także aktywności w blogosferze oraz serwisach Facebook i Instagram. Przewidziano też sponsoring popularnych programów telewizyjnych: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dobre i na złe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Pierwsza miłość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 Fortuny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i kreację przygotowała agencja KORE, która jednocześnie odpowiada za działania w mediach społecznościowych. Za lokowanie produktu jest odpowiedzialna agencja Aldentro Sp. z o.o. Media zaplanował oraz zakupił dom mediowy Universal McCann. Działania PR prowadzi agencja Kolterman Media Communications. Aktywności będą trwały do końca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2026-01-20T03:54:13+01:00</dcterms:created>
  <dcterms:modified xsi:type="dcterms:W3CDTF">2026-01-20T03:54:13+01:00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