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Każdy ma swoje Grzeszki… Grześki. A jakie są Twoje? – nowy spot marki Grześki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Grześki, należąca do firmy Colian, ruszyła z kolejną odsłoną komunikacji w ramach platformy „Każdy ma swoje Grzeszki-Grześki”. Kluczowym elementem tegorocznej kampanii jest nowy spot reklamowy, który będzie emitowany w największych ogólnopolskich stacjach telewizyjnych do końca grudnia br. Całość działań zostanie wsparta intensywnymi aktywnościami w kanale digital, obejmującymi m.in. VOD, YouTube oraz media społecznościowe.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 października br. wystartowała najnowsza kampania prowadzona pod hasłem „Każdy ma swoje Grześki”. Nowy spot, promujący szeroką ofertę marki, składa się z 4 historii ukazujących nasze różne „grzeszki” - drobne, codzienne słabostki, które wywołują uśmiech i pozwalają z większym dystansem patrzeć na świat wokół nas. To właśnie one sprawiają, że jesteśmy wyjątkowi i jedyni w swoim rodzaju – tak jak… ulubione wafelki Grześki, które towarzyszą nam każdego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materiału wideo: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https://youtu.be/fTJCX6TPt30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Marka Grześki od 4 lat skutecznie buduje swoją komunikację w oparciu o platformę „Każdy ma swoje Grześki”. Sukces tego projektu potwierdzają nie tylko nagrody, takie jak brązowa statuetka Effie Awards 2021, ale przede wszystkim pozytywne opinie konsumentów</w:t>
      </w:r>
      <w:r>
        <w:rPr>
          <w:rFonts w:ascii="calibri" w:hAnsi="calibri" w:eastAsia="calibri" w:cs="calibri"/>
          <w:sz w:val="24"/>
          <w:szCs w:val="24"/>
        </w:rPr>
        <w:t xml:space="preserve"> – podkreśla Joanna Kąkol, Rzecznik Prasowy Colian, i dodaje: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Tegoroczna kampania, pełna humoru, skojarzeń i gry słownej, odnosi się zarówno do naszych codziennych grzeszków, jak i bogatej oferty produktów, w której każdy może znaleźć coś dla siebie.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koniec zaplanowanych aktywności. Marka Grześki będzie również intensywnie promowana w mediach społecznościowych oraz digitalu.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Koncepcję kreatywną spotu opracowała agencja AżTuNagle, za produkcję odpowiada dom produkcyjny Lemon. Zakupem mediów zajęła się agencja Initiative, natomiast działania digital prowadzi NAV Agency. Doradztwo w zakresie public relations zapewnia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fTJCX6TPt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2026-01-20T02:39:12+01:00</dcterms:created>
  <dcterms:modified xsi:type="dcterms:W3CDTF">2026-01-20T02:39:12+01:00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