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Smak, który łączy! Profi i JemyJemy z największą kampanią digitalową ostatnich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szeroko zakrojona kampania reklamowa marek Profi i JemyJemy, która potrwa do Świąt Bożego Narodzenia. To największe przedsięwzięcie promocyjne obu brandów w ostatnich latach, obejmujące intensywną obecność w internecie, mediach społecznościowych, na YouTube oraz w punktach sprzedaży. Celem działań jest dalsze wzmacnianie wizerunku, zwiększanie rozpoznawalności i wsparcie sprzedaży produktów obu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Rekordowy zasięg kampanii digitalowej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Jesienna odsłona kampania Profi i JemyJemy prowadzona jest w modelu programmatic display i video, a jej zasięg robi ogromne wrażenie. </w:t>
      </w:r>
      <w:r>
        <w:rPr>
          <w:rFonts w:ascii="calibri" w:hAnsi="calibri" w:eastAsia="calibri" w:cs="calibri"/>
          <w:sz w:val="24"/>
          <w:szCs w:val="24"/>
          <w:b/>
        </w:rPr>
        <w:t xml:space="preserve">Reklamy zostaną wyświetlone ponad 156 milionów razy, docierając do przeszło 25 milionów internautów w całej Polsce, którzy zobaczą je średnio co najmniej sześć razy.</w:t>
      </w:r>
      <w:r>
        <w:rPr>
          <w:rFonts w:ascii="calibri" w:hAnsi="calibri" w:eastAsia="calibri" w:cs="calibri"/>
          <w:sz w:val="24"/>
          <w:szCs w:val="24"/>
        </w:rPr>
        <w:t xml:space="preserve"> Kreacje pojawiają się na najpopularniejszych portalach, takich jak Onet, Interia, WP czy Pogoda.pl, a także w mediach społecznościowych - Facebooku, Instagramie i TikToku. Całość uzupełniają krótkie, angażujące filmy wideo emitowane w serwisie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JemyJemy to kolejny etap konsekwentnego budowania wizerunku jako marki nowoczesnej, dynamicznej i bliskiej codziennym potrzebom konsumentów. Naszym celem jest dotarcie do szerokiego grona odbiorców, którzy cenią smak, wygodę i wysoką jakość produktów. Dzięki tak dużej kampanii możemy jeszcze skuteczniej przypominać, że nasze zupy i dania gotowe to idealne rozwiązanie na każdy dzień</w:t>
      </w:r>
      <w:r>
        <w:rPr>
          <w:rFonts w:ascii="calibri" w:hAnsi="calibri" w:eastAsia="calibri" w:cs="calibri"/>
          <w:sz w:val="24"/>
          <w:szCs w:val="24"/>
        </w:rPr>
        <w:t xml:space="preserve"> - mówi Aleksandra Duszyńska, Specjalista ds. Marketingu w firmie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 to marka, która od lat kojarzy się ze smakiem i tradycją. Dziś rozwijamy ten wizerunek, łącząc doświadczenie z nowoczesnym podejściem do komunikacji. Obecność w kanałach digitalowych pozwala nam skutecznie inspirować młodsze pokolenie konsumentów i pokazywać, że pasztet Profi to nie tylko klasyka na kanapce, ale także produkt o wielu kulinarnych zastosowaniach. Z kolei dzięki wykorzystaniu m.in. geotargetowania docieramy dokładnie tam, gdzie zapadają decyzje zakupowe - w pobliżu sklepów z naszymi promocjami, co przekłada się na jeszcze większą skuteczność kampanii</w:t>
      </w:r>
      <w:r>
        <w:rPr>
          <w:rFonts w:ascii="calibri" w:hAnsi="calibri" w:eastAsia="calibri" w:cs="calibri"/>
          <w:sz w:val="24"/>
          <w:szCs w:val="24"/>
        </w:rPr>
        <w:t xml:space="preserve"> - podkreśla Beata Mielcarek, Senior Brand Manager marki Profi.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Wspólny cel - silniejsze marki, większy zasięg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 zakrojone działania komunikacyjne to kolejny etap rozwoju </w:t>
      </w:r>
      <w:r>
        <w:rPr>
          <w:rFonts w:ascii="calibri" w:hAnsi="calibri" w:eastAsia="calibri" w:cs="calibri"/>
          <w:sz w:val="24"/>
          <w:szCs w:val="24"/>
          <w:b/>
        </w:rPr>
        <w:t xml:space="preserve">Profi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JemyJemy</w:t>
      </w:r>
      <w:r>
        <w:rPr>
          <w:rFonts w:ascii="calibri" w:hAnsi="calibri" w:eastAsia="calibri" w:cs="calibri"/>
          <w:sz w:val="24"/>
          <w:szCs w:val="24"/>
        </w:rPr>
        <w:t xml:space="preserve">, które konsekwentnie wzmacniają swoją pozycję poprzez nowoczesne, angażujące formy promocji. Profi, jako lider w swojej kategorii*, rozwija wizerunek brandu bliskiego konsumentom i otwartego na innowacyjne rozwiązania marketingowe. JemyJemy natomiast jako młoda marka, która szturmem zdobyła rynek i dziś jest numerem jeden** w swojej kategorii, w krótkim czasie osiągnęła 45%*** rozpoznawalności wśród odbiorców segmentu zup gotowych. To potwierdza jej dynamiczny rozwój oraz konsekwentne budowanie pozycji rynkowej. Oba brandy realizują odrębne, dopasowane do swoich grup docelowych działania, które łączy wspólny cel – dalsze wzmacnianie świadomości i zaangażowania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planowanie i zakup mediów odpowiada dom mediowy MullenLowe MediaHub. Działania PR prowadzi agencja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 za NielsenIQ, Panel Handlu Detalicznego, Cała Polska (Food), Sprzedaż i udziały w sprzedaży wartościowej, wolumenowej (w kilogramach) i w sztukach/opakowaniach, w okresie Tydzień 9 2024 – Tydzień 8 2025, w kategorii: Pasztety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**Profi za NielsenIQ, Panel Handlu Detalicznego, Cała Polska (Food), Sprzedaż i udziały w sprzedaży wartościowej i w sztukach/opakowaniach, w okresie Tydzień 9 2024 – Tydzień 8 2025, w kategorii: Zupy z 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 Badanie trackingowe, pomiar 9, VII 2025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2025-12-31T17:34:13+01:00</dcterms:created>
  <dcterms:modified xsi:type="dcterms:W3CDTF">2025-12-31T17:34:13+01:00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