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kampania sponsorska marki Akuku!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sponsorska kampania telewizyjna marki Akuku!. Emisje billboardów zaplanowano w TVN i Polsat oraz kanałach tematycznych TVN do końca sierpnia br. Komunikacja bazuje na wizerunku sympatycznego brand hero marki i podkreśla jej radosny, zabawowy charakter.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Żelki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</w:t>
      </w:r>
      <w:r>
        <w:rPr>
          <w:rFonts w:ascii="calibri" w:hAnsi="calibri" w:eastAsia="calibri" w:cs="calibri"/>
          <w:sz w:val="24"/>
          <w:szCs w:val="24"/>
        </w:rPr>
        <w:t xml:space="preserve">doskonale wpisują się w kontekst rodzinnego relaksu. Realizowane działania mają na celu budowanie wizerunku marki, jako przekąski dającej dużo radości, smaku i gwarantującej doskonałą zabawę.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sponsorska jest realizowana na stacjach Polsat i TVN oraz w kanałach tematycznych z pakietów TVN Kobieta i TVN Mux, m.in. Discovery Life, National Geographic, FOX Poland i TVN7. Emisje 8-sekundowych billboardów sponsorskich zaplanowano przed wybranymi programami kobiecymi i kinem familijnym.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 46 obiektach sieci Multikino marka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</w:t>
      </w:r>
      <w:r>
        <w:rPr>
          <w:rFonts w:ascii="calibri" w:hAnsi="calibri" w:eastAsia="calibri" w:cs="calibri"/>
          <w:sz w:val="24"/>
          <w:szCs w:val="24"/>
        </w:rPr>
        <w:t xml:space="preserve"> będzie promowana przez cały rok w kampanii on-screen, strefach zabawy dla dzieci i poprzez specjalną ofertę „Pufa dla Malucha”. Marka zaplanowała także sampling produktowy na wybranych eventach, adresowanych do rodziców z dziećmi.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Billboard sponsorski wykreowała i wyprodukowała agencja Havas Engage Warsaw. Media na potrzeby kampanii zakupił Dom Mediowy Initative. Komunikację w sieci kin zaplanował i zrealizował Dział Marketingu Strategicznego Dywizji Słodkiej Colian. Wsparcie PR zapewnia Kolterman Media Communications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2026-07-05T05:50:59+02:00</dcterms:created>
  <dcterms:modified xsi:type="dcterms:W3CDTF">2026-07-05T05:50:59+02:00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