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Custodia Capital inwestuje w Profi S.A.</w:t>
      </w:r>
    </w:p>
    <w:p>
      <w:pPr>
        <w:spacing w:before="0" w:after="500" w:line="264" w:lineRule="auto"/>
      </w:pPr>
      <w:r>
        <w:rPr>
          <w:rFonts w:ascii="calibri" w:hAnsi="calibri" w:eastAsia="calibri" w:cs="calibri"/>
          <w:sz w:val="36"/>
          <w:szCs w:val="36"/>
          <w:b/>
        </w:rPr>
        <w:t xml:space="preserve">28.02.2025 r. fundusz inwestycyjny Custodia Capital zainwestował w Profi S.A. Celem transakcji jest wsparcie dalszego rozwoju firmy oraz umacnianie jej pozycji na rynku poprzez strategiczne inwestycje w marki i wdrażanie nowatorskich rozwiązań.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Transakcja stanowi kolejny krok w realizacji długoterminowej strategii Profi S.A.</w:t>
      </w:r>
      <w:r>
        <w:rPr>
          <w:rFonts w:ascii="calibri" w:hAnsi="calibri" w:eastAsia="calibri" w:cs="calibri"/>
          <w:sz w:val="24"/>
          <w:szCs w:val="24"/>
          <w:i/>
          <w:iCs/>
        </w:rPr>
        <w:t xml:space="preserve"> </w:t>
      </w:r>
      <w:r>
        <w:rPr>
          <w:rFonts w:ascii="calibri" w:hAnsi="calibri" w:eastAsia="calibri" w:cs="calibri"/>
          <w:sz w:val="24"/>
          <w:szCs w:val="24"/>
        </w:rPr>
        <w:t xml:space="preserve">Firma od lat dynamicznie się rozwija, a jej marki Profi i JemyJemy są liderami w swoich kategoriach. Dzięki konsekwentnym inwestycjom i wdrażaniu innowacyjnych rozwiązań technologicznych spółka zbudowała silną pozycję rynkową oraz zdobyła zaufanie konsumentów. Konsorcjum zamierza kontynuować dotychczasowe działania firmy, jednocześnie dostosowując ofertę do zmieniających się potrzeb i preferencji klientów.</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Podpisanie umowy to ważny moment dla firmy Profi S.A., który umożliwia dalszą realizację długoterminowych planów i umacnianie pozycji w branży</w:t>
      </w:r>
      <w:r>
        <w:rPr>
          <w:rFonts w:ascii="calibri" w:hAnsi="calibri" w:eastAsia="calibri" w:cs="calibri"/>
          <w:sz w:val="24"/>
          <w:szCs w:val="24"/>
        </w:rPr>
        <w:t xml:space="preserve"> – podkreśla Krzysztof Stojanowski, Prezes Zarządu Profi S.A. i dodaje: </w:t>
      </w:r>
      <w:r>
        <w:rPr>
          <w:rFonts w:ascii="calibri" w:hAnsi="calibri" w:eastAsia="calibri" w:cs="calibri"/>
          <w:sz w:val="24"/>
          <w:szCs w:val="24"/>
          <w:i/>
          <w:iCs/>
        </w:rPr>
        <w:t xml:space="preserve">To także istotny krok w kierunku realizacji strategii skoncentrowanej na dywersyfikacji oferty produktowej oraz poszerzeniu obecności na rynkach zagranicznych. Współpraca z Custodia Capital otwiera przed nami nowe możliwości – pozwala kontynuować dotychczasowe działania i wdrażać innowacyjne rozwiązania zwiększające efektywność operacyjną, przy jednoczesnym zachowaniu potencjału naszego zespołu. W tym miejscu pragnę również podziękować Accession Capital Partners, dotychczasowemu akcjonariuszowi, który odegrał kluczową rolę w rozwoju firmy. Dzięki ich wiedzy i zaangażowaniu spółka mogła dynamicznie rozszerzyć swoją działalność oraz umacniać pozycję na rynku. Wkład ACP stanowi istotny element sukcesu firmy Profi S.A.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Zespół zarządzający Profi S.A. udowodnił swoją wyjątkową skuteczność operacyjną, a my z entuzjazmem patrzymy na nadchodzącą współpracę, która umożliwi zarówno dalszy dynamiczny rozwój firmy, jak i kontynuację jej dotychczasowych założeń</w:t>
      </w:r>
      <w:r>
        <w:rPr>
          <w:rFonts w:ascii="calibri" w:hAnsi="calibri" w:eastAsia="calibri" w:cs="calibri"/>
          <w:sz w:val="24"/>
          <w:szCs w:val="24"/>
        </w:rPr>
        <w:t xml:space="preserve"> - komentuje Tomasz Potapczuk, współzałożyciel Custodia Capital.</w:t>
      </w:r>
    </w:p>
    <w:p>
      <w:pPr>
        <w:spacing w:before="0" w:after="300"/>
      </w:pPr>
      <w:r>
        <w:rPr>
          <w:rFonts w:ascii="calibri" w:hAnsi="calibri" w:eastAsia="calibri" w:cs="calibri"/>
          <w:sz w:val="24"/>
          <w:szCs w:val="24"/>
          <w:b/>
        </w:rPr>
        <w:t xml:space="preserve">Custodia Capital</w:t>
      </w:r>
      <w:r>
        <w:rPr>
          <w:rFonts w:ascii="calibri" w:hAnsi="calibri" w:eastAsia="calibri" w:cs="calibri"/>
          <w:sz w:val="24"/>
          <w:szCs w:val="24"/>
        </w:rPr>
        <w:t xml:space="preserve"> jest funduszem inwestycyjnym wspierającym dynamicznie rozwijające się polskie spółki, które są liderami w swoich branżach. Kapitał funduszu pochodzi wyłącznie od polskich inwestorów. Zarządzający funduszem posiadają ponad trzy dekady doświadczenia w inwestycjach kapitałowych, między innymi w wiodące spółki z branży FMCG.</w:t>
      </w:r>
    </w:p>
    <w:p>
      <w:pPr>
        <w:spacing w:before="0" w:after="300"/>
      </w:pPr>
      <w:r>
        <w:rPr>
          <w:rFonts w:ascii="calibri" w:hAnsi="calibri" w:eastAsia="calibri" w:cs="calibri"/>
          <w:sz w:val="24"/>
          <w:szCs w:val="24"/>
          <w:b/>
        </w:rPr>
        <w:t xml:space="preserve">Accession Capital Partners (ACP)</w:t>
      </w:r>
      <w:r>
        <w:rPr>
          <w:rFonts w:ascii="calibri" w:hAnsi="calibri" w:eastAsia="calibri" w:cs="calibri"/>
          <w:sz w:val="24"/>
          <w:szCs w:val="24"/>
        </w:rPr>
        <w:t xml:space="preserve"> to fundusz inwestycyjny działający w Europie Środkowo-Wschodniej od 2000 roku, z biurami m.in. w Wiedniu, Warszawie i Budapeszcie. Inwestuje ze swojego piątego funduszu AMC V SCA SICAV-RAIF o wartości 336 mln euro, zamkniętego w 2024 roku. Do tej pory ACP pozyskał ponad 1,2 mld euro w pięciu funduszach kapitału wzrostu, wspieranych przez czołowych inwestorów instytucjonalnych z Europy, USA i Azji.</w:t>
      </w:r>
    </w:p>
    <w:p>
      <w:pPr>
        <w:spacing w:before="0" w:after="300"/>
      </w:pPr>
      <w:r>
        <w:rPr>
          <w:rFonts w:ascii="calibri" w:hAnsi="calibri" w:eastAsia="calibri" w:cs="calibri"/>
          <w:sz w:val="24"/>
          <w:szCs w:val="24"/>
          <w:b/>
        </w:rPr>
        <w:t xml:space="preserve">Profi – lider smaku i jakości od ponad 30 lat</w:t>
      </w:r>
    </w:p>
    <w:p>
      <w:pPr>
        <w:spacing w:before="0" w:after="300"/>
      </w:pPr>
      <w:r>
        <w:rPr>
          <w:rFonts w:ascii="calibri" w:hAnsi="calibri" w:eastAsia="calibri" w:cs="calibri"/>
          <w:sz w:val="24"/>
          <w:szCs w:val="24"/>
        </w:rPr>
        <w:t xml:space="preserve">Firma Profi od ponad trzech dekad należy do czołowych graczy na polskim rynku żywności. Jako właściciel marek Profi, JemyJemy oraz Pasztety Dworskie, nieustannie rozwija swoją ofertę, dostosowując ją do zmieniających się potrzeb klientów. Produkty Profi cieszą się uznaniem nie tylko w Polsce, lecz także w takich krajach jak USA, Wielka Brytania, Kanada, Niemcy i Ukraina.</w:t>
      </w:r>
    </w:p>
    <w:p>
      <w:pPr>
        <w:spacing w:before="0" w:after="300"/>
      </w:pPr>
      <w:r>
        <w:rPr>
          <w:rFonts w:ascii="calibri" w:hAnsi="calibri" w:eastAsia="calibri" w:cs="calibri"/>
          <w:sz w:val="24"/>
          <w:szCs w:val="24"/>
        </w:rPr>
        <w:t xml:space="preserve">Spółka jest cenionym pracodawcą w swoim regionie, aktywnie wspierając lokalną społeczność. Zatrudnia obecnie prawie 300 osób, z których 65% pracuje w firmie od ponad 10 lat. Co więcej, większość stanowisk kierowniczych zajmują kobiety.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2025-12-03T14:41:43+01:00</dcterms:created>
  <dcterms:modified xsi:type="dcterms:W3CDTF">2025-12-03T14:41:43+01:00</dcterms:modified>
</cp:coreProperties>
</file>

<file path=docProps/custom.xml><?xml version="1.0" encoding="utf-8"?>
<Properties xmlns="http://schemas.openxmlformats.org/officeDocument/2006/custom-properties" xmlns:vt="http://schemas.openxmlformats.org/officeDocument/2006/docPropsVTypes"/>
</file>