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„Niezrównane w smaku. Jedyne oryginalne” – ruszyła nowa kampania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marka Jeżyki wystartowała z nową kampanią 360°, promującą jedyne w swoim rodzaju ciastka Jeżyki. Komunikacja obejmuje telewizję, działania digitalowe, VOD, nośniki DOOH, mural w Warszawie oraz aktywacje z influencerami. Wszystko pod hasłem: „Niezrównane w smaku. Jedyne oryginalne”.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wracają z mocnym komunikatem, który nie pozostawia wątpliwości: oryginał jest tylko jeden.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„Niezrównane w smaku. Jedyne oryginalne”</w:t>
      </w:r>
      <w:r>
        <w:rPr>
          <w:rFonts w:ascii="calibri" w:hAnsi="calibri" w:eastAsia="calibri" w:cs="calibri"/>
          <w:sz w:val="24"/>
          <w:szCs w:val="24"/>
        </w:rPr>
        <w:t xml:space="preserve"> to ukłon w stronę uwielbianego klasyka, który od lat dostarcza przyjemności w swojej najbardziej rozpoznawalnej 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akcji są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– kultowe ciastka, cieszące się niezmiennym zaufaniem konsumentów i zajmujące pozycję numer 1 w swojej kategorii. To coś więcej niż słodycz – to produkt, który zachwyca jakością składników, dopracowaną recepturą i unikalnym połączeniem smaków. Kruche, z aksamitnym karmelem, najeżone bakaliami i oblane gęstą czekoladą – oferują intensywne doznania smakowe i prawdziwą satysfakcję z każdego kęsa. Co istotne, Jeżyki wyróżniają się także charakterystycznym wyglądem – tak rozpoznawalnym, że trudno je pomylić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działania, zależało nam na stworzeniu komunikacji, która w prosty i atrakcyjny sposób przypomni o unikalności naszej oferty – o tym, że nasze ciastko jest jedyne w swoim rodzaju. Z Jeżykami nie trzeba iść na kompromisy – to synonim maksimum przyjemności, różnorodności smaków, oryginalności i jakości składników, docenianych przez konsumentów od lat. Dlatego w nowej kampanii połączyliśmy tradycyjne formaty z niestandardowymi aktywacjami, zwiększającymi zaangażowanie i wnoszącymi świeżość do przekazu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różnorodne kanały dotarcia - od 10-sekundowego spotu emitowanego w największych stacjach telewizyjnych, przez działania w VOD i digitalu, po DOOH, mural w Warszawie oraz aktywacje z udziałem influencerów czy znanych marek. Całość utrzymana jest w spójnej, dynamicznej estetyce, która stawia smak, przyjemność i wyjątkowość na pierwszym planie.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Za kreację oraz kompleksową organizację kampanii odpowiada agencja CreativeHarder. Zakupem mediów tradycyjnych zajął się dom mediowy Initiative. Doradztwo w zakresie public relations zapewniła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Relationship Id="rId8" Type="http://schemas.openxmlformats.org/officeDocument/2006/relationships/hyperlink" Target="https://www.youtube.com/watch?v=z6_DXlS5D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2025-12-02T22:29:34+01:00</dcterms:created>
  <dcterms:modified xsi:type="dcterms:W3CDTF">2025-12-02T22:29:34+01:00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