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wizerunek Śliwki Nałęczowskiej. Jeszcze bardziej stylowy i elegancki!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Śliwka Nałęczowska zyskała nowy wizerunek. Dzięki odświeżonej grafice opakowań, marka stała się jeszcze bardziej stylowa i elegancka. Wszystko za sprawą połączenia oryginalnego, oldschoolowego designu z nutką nowoczesności. Na sklepowych półkach Śliwka Nałęczowska w nowej odsłonie pojawi się jesienią.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to flagowy produkt marki Solidarność. Od kilkudziesięciu lat cieszy się niesłabnącą popularnością w kraju oraz poza jego granicami. Praliny cenione są za oryginalny smak i unikatową recepturę.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Inspirację dla nowego wizerunku marki stanowiło niezmienne od 40 lat opakowanie śliwki – torebka 350g, wyróżniające się charakterystycznymi kropkami, nawiązującymi do designu lat 60, kiedy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powstała. Nowy design cechuje elegancki minimalizm połączony z tradycyjnym wzorem, a kolorystyka marki została utrzymana w rozpoznawalnej tonacji stylowego granatu, zestawionego z zielenią i bielą.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Praliny są dostępne w różnych gramaturach i opakowaniach, w prezentowych bombonierkach, gustownych kartonikach, szykownych sztabkach czy poręcznych torebkach.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jest też oferowana w limitowanym kartoniku, kształtem nawiązującym do owocu śliwki oraz stylowej, owalnej puszce.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UWAGA!</w:t>
      </w:r>
      <w:r>
        <w:rPr>
          <w:rFonts w:ascii="calibri" w:hAnsi="calibri" w:eastAsia="calibri" w:cs="calibri"/>
          <w:sz w:val="24"/>
          <w:szCs w:val="24"/>
        </w:rPr>
        <w:t xml:space="preserve"> Do końca listopada br. potrwa wyjątkowa akcja dla fanów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. Marka przygotowała loterię „Stylowe Śliwkobranie”. Do wygrania jest ponad 3000 designerskich nagród z kolekcji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 oraz samochód wart 50 tysięcy złotych. Za projekty nagród odpowiada zwyciężczyni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, a inspiracją do tego designu stanowiło właśnie nowe opakowanie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2026-04-02T07:46:16+02:00</dcterms:created>
  <dcterms:modified xsi:type="dcterms:W3CDTF">2026-04-02T07:46:16+02:00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