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wizerunek Śliwki Nałęczowskiej. Jeszcze bardziej stylowy i elegancki!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Śliwka Nałęczowska zyskała nowy wizerunek. Dzięki odświeżonej grafice opakowań, marka stała się jeszcze bardziej stylowa i elegancka. Wszystko za sprawą połączenia oryginalnego, oldschoolowego designu z nutką nowoczesności. Na sklepowych półkach Śliwka Nałęczowska w nowej odsłonie pojawi się jesienią.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to flagowy produkt marki Solidarność. Od kilkudziesięciu lat cieszy się niesłabnącą popularnością w kraju oraz poza jego granicami. Praliny cenione są za oryginalny smak i unikatową recepturę.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Inspirację dla nowego wizerunku marki stanowiło niezmienne od 40 lat opakowanie śliwki – torebka 350g, wyróżniające się charakterystycznymi kropkami, nawiązującymi do designu lat 60, kiedy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powstała. Nowy design cechuje elegancki minimalizm połączony z tradycyjnym wzorem, a kolorystyka marki została utrzymana w rozpoznawalnej tonacji stylowego granatu, zestawionego z zielenią i bielą.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Praliny są dostępne w różnych gramaturach i opakowaniach, w prezentowych bombonierkach, gustownych kartonikach, szykownych sztabkach czy poręcznych torebkach.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jest też oferowana w limitowanym kartoniku, kształtem nawiązującym do owocu śliwki oraz stylowej, owalnej puszce.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UWAGA!</w:t>
      </w:r>
      <w:r>
        <w:rPr>
          <w:rFonts w:ascii="calibri" w:hAnsi="calibri" w:eastAsia="calibri" w:cs="calibri"/>
          <w:sz w:val="24"/>
          <w:szCs w:val="24"/>
        </w:rPr>
        <w:t xml:space="preserve"> Do końca listopada br. potrwa wyjątkowa akcja dla fanów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Śliwki Nałęczowskiej</w:t>
      </w:r>
      <w:r>
        <w:rPr>
          <w:rFonts w:ascii="calibri" w:hAnsi="calibri" w:eastAsia="calibri" w:cs="calibri"/>
          <w:sz w:val="24"/>
          <w:szCs w:val="24"/>
        </w:rPr>
        <w:t xml:space="preserve">. Marka przygotowała loterię „Stylowe Śliwkobranie”. Do wygrania jest ponad 3000 designerskich nagród z kolekcji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Śliwki Nałęczowskiej</w:t>
      </w:r>
      <w:r>
        <w:rPr>
          <w:rFonts w:ascii="calibri" w:hAnsi="calibri" w:eastAsia="calibri" w:cs="calibri"/>
          <w:sz w:val="24"/>
          <w:szCs w:val="24"/>
        </w:rPr>
        <w:t xml:space="preserve"> oraz samochód wart 50 tysięcy złotych. Za projekty nagród odpowiada zwyciężczyni konkursu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, a inspiracją do tego designu stanowiło właśnie nowe opakowanie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Śliwki Nałęczowskiej!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2026-07-25T09:29:04+02:00</dcterms:created>
  <dcterms:modified xsi:type="dcterms:W3CDTF">2026-07-25T09:29:04+02:00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