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„Każdy ma swoje grzesz… Grześki” – nowa platforma komunikacyjna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80% Polaków deklaruje, że ma swoje „małe grzeszki” – niewielkie przyjemności, na które pozwala sobie od czasu do czasu*. Drobne słabości – grzeszki są nieodłącznym elementem naszego życia, zupełnie jak Grześki, które w listopadzie wystartowały z nową platformą komunikacyjną. Pierwsza odsłona kampanii reklamowej pod hasłem „Każdy ma swoje Grześki” potrwa do 20 grudnia br. w telewizji i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platforma komunikacyjna marki bazuje na humorystycznej grze słów grzeszki-Grześki.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ma swoje „grzeszki” – małe, codzienne słabostki, które sprawiają, że częściej się uśmiechamy i z lekkim dystansem podchodzimy do otaczającej nas rzeczywistości. To one czynią nas wyjątkowymi i niepowtarzalnymi, podobnie jak… ulubione wafelki Grześki, towarzyszące nam na co dzień. Nowa platforma komunikacyjna marki w sposób żartobliwy bazuje na dwuznaczności słowa grzeszki-Grześki i stawia ją w centrum humorystycznego przekazu, bo przecież… „Każdy ma swoje Grześki”!</w:t>
      </w:r>
      <w:r>
        <w:rPr>
          <w:rFonts w:ascii="calibri" w:hAnsi="calibri" w:eastAsia="calibri" w:cs="calibri"/>
          <w:sz w:val="24"/>
          <w:szCs w:val="24"/>
        </w:rPr>
        <w:t xml:space="preserve"> – mówi Wojciech Gańko, Brand Manager marki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pierwszego spotu z cyklu o naszych codziennych grzeszkach-Grześkach jest niewinny flirt nastolatków - chłopaka w pociągu z dziewczyną na peronie. Emisje zaplanowano do 20 grudnia br. na antenie Polsatu, TVNu i stacji tematycznych oraz w serwisach VoD (Ipla i player.pl). Kampanię telewizyjną uzupełniają działania w mediach społecznościowych oraz współpraca z influencerami.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wprowadzenia nowej platformy komunikacyjnej jest dotarcie do obecnych konsumentów marki oraz poszerzenie użytkowników o młodszych konsumentów z pokolenia Y i Z. Działania zaplanowane na listopad i grudzień, to dopiero początek szeroko zakrojonych aktywności marki. O Grześkach będzie głośno przez cały 2021 rok. O tym, co marka przygotowała jeszcze dla konsumentów będziemy informować na bieżąco.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Strategię nowej platformy komunikacyjnej marki opracowała agencja MullenLowe Warsaw. Media do kampanii zakupił Initiative; spot wyprodukował dom produkcyjny Lemon; za działania z influencerami odpowiada agencja Gong. Wsparcie PR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spotu: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https://youtu.be/8-N0rpeIZj4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na panelu Ariadna. Próba ogólnopolska licząca N=1088 osób w wieku od 18 lat wzwyż. Struktura próby dobrana wg reprezentacji w populacji dla płci, wieku i wielkości miejscowości zamieszkania. Metoda: CAWI. Termin realizacji: 6 - 9 listopada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8-N0rpeIZj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2026-08-14T08:33:28+02:00</dcterms:created>
  <dcterms:modified xsi:type="dcterms:W3CDTF">2026-08-14T08:33:28+02:00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