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„Każdy ma swoje grzesz… Grześki” – nowa platforma komunikacyjna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80% Polaków deklaruje, że ma swoje „małe grzeszki” – niewielkie przyjemności, na które pozwala sobie od czasu do czasu*. Drobne słabości – grzeszki są nieodłącznym elementem naszego życia, zupełnie jak Grześki, które w listopadzie wystartowały z nową platformą komunikacyjną. Pierwsza odsłona kampanii reklamowej pod hasłem „Każdy ma swoje Grześki” potrwa do 20 grudnia br. w telewizji i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platforma komunikacyjna marki bazuje na humorystycznej grze słów grzeszki-Grześki.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ma swoje „grzeszki” – małe, codzienne słabostki, które sprawiają, że częściej się uśmiechamy i z lekkim dystansem podchodzimy do otaczającej nas rzeczywistości. To one czynią nas wyjątkowymi i niepowtarzalnymi, podobnie jak… ulubione wafelki Grześki, towarzyszące nam na co dzień. Nowa platforma komunikacyjna marki w sposób żartobliwy bazuje na dwuznaczności słowa grzeszki-Grześki i stawia ją w centrum humorystycznego przekazu, bo przecież… „Każdy ma swoje Grześki”!</w:t>
      </w:r>
      <w:r>
        <w:rPr>
          <w:rFonts w:ascii="calibri" w:hAnsi="calibri" w:eastAsia="calibri" w:cs="calibri"/>
          <w:sz w:val="24"/>
          <w:szCs w:val="24"/>
        </w:rPr>
        <w:t xml:space="preserve"> – mówi Wojciech Gańko, Brand Manager marki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pierwszego spotu z cyklu o naszych codziennych grzeszkach-Grześkach jest niewinny flirt nastolatków - chłopaka w pociągu z dziewczyną na peronie. Emisje zaplanowano do 20 grudnia br. na antenie Polsatu, TVNu i stacji tematycznych oraz w serwisach VoD (Ipla i player.pl). Kampanię telewizyjną uzupełniają działania w mediach społecznościowych oraz współpraca z influencerami.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wprowadzenia nowej platformy komunikacyjnej jest dotarcie do obecnych konsumentów marki oraz poszerzenie użytkowników o młodszych konsumentów z pokolenia Y i Z. Działania zaplanowane na listopad i grudzień, to dopiero początek szeroko zakrojonych aktywności marki. O Grześkach będzie głośno przez cały 2021 rok. O tym, co marka przygotowała jeszcze dla konsumentów będziemy informować na bieżąco.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Strategię nowej platformy komunikacyjnej marki opracowała agencja MullenLowe Warsaw. Media do kampanii zakupił Initiative; spot wyprodukował dom produkcyjny Lemon; za działania z influencerami odpowiada agencja Gong. Wsparcie PR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spotu: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https://youtu.be/8-N0rpeIZj4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na panelu Ariadna. Próba ogólnopolska licząca N=1088 osób w wieku od 18 lat wzwyż. Struktura próby dobrana wg reprezentacji w populacji dla płci, wieku i wielkości miejscowości zamieszkania. Metoda: CAWI. Termin realizacji: 6 - 9 listopada 2020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8-N0rpeIZj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2026-10-16T05:35:06+02:00</dcterms:created>
  <dcterms:modified xsi:type="dcterms:W3CDTF">2026-10-16T05:35:06+02:00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