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II edycja konkursu Design by Śliwka Nałęczowska. Pasjonaci grafiki i designu z szansą na 10 tysięcy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marca można nadsyłać zgłoszenia w II edycji konkursu Design by Śliwka Nałęczowska. Pasjonaci grafiki i designu mają za zadanie zaprojektować nadruk na puszkę pralin Śliwki Nałęczowskiej. Prace oceni jury pod przewodnictwem Małgorzaty Sochy. Zwycięzca odbierze czek o wartości 10 tys. zł. Patronem merytorycznym akcji zostały warszawska ASP i STGU.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konsekwentnie wspiera zdolnych twórców. 1 lutego wystartowała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To ogólnopolski konkurs skierowany do grafików, pasjonatów wzornictwa oraz designu, zarówno profesjonalistów, jak i amatorów. Ideą projektu jest promowanie młodych twórców i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pasjonaci designu i grafiki mają za zadanie zaprojektować nadruk na puszkę pralin, będący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Polski”. </w:t>
      </w:r>
      <w:r>
        <w:rPr>
          <w:rFonts w:ascii="calibri" w:hAnsi="calibri" w:eastAsia="calibri" w:cs="calibri"/>
          <w:sz w:val="24"/>
          <w:szCs w:val="24"/>
        </w:rPr>
        <w:t xml:space="preserve">Zgłoszenia można nadsyłać od 1 lutego do 20 marca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Przewodniczącą jury, które oceni nadesłane prace, została aktorka i miłośniczka designu, Małgorzata Socha. W wyborze zwycięzców będą brali udział także m.in. Olka Osadzińska, jedna z najlepszych polskich ilustratorek oraz prof. Ksawery Piwocki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uznany autorytet wśród studentów, dziekan Wydziału Wzornictwa i były rektor warszawskiej Akademii Sztuk Pięknych.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edycji, na zwycięzców czekają wysokie nagrody finansowe i zestawy pralin. Laureat pierwszego miejsca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zł, drugiego – 7 000 zł, a trzeciego – 5 000 zł.</w:t>
      </w:r>
      <w:r>
        <w:rPr>
          <w:rFonts w:ascii="calibri" w:hAnsi="calibri" w:eastAsia="calibri" w:cs="calibri"/>
          <w:sz w:val="24"/>
          <w:szCs w:val="24"/>
        </w:rPr>
        <w:t xml:space="preserve"> Autorzy prac, którzy uplasują się na pozycjach od czwartej do dwunastej, otrzymają kosze Śliwki Nałęczowskiej. Zwycięzcy konkursu zostaną ogłoszeni w kwietniu na konferencji w Warszawie. Szczegółowe zasady uczestnictwa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konkursu jest odpowiedzią na olbrzymie zainteresowanie, jakim cieszyła się pierwsza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Jury pod przewodnictwem Lidii Kality wyłoniło wówczas 10 laureatów. Ponad 1000 nadesłanych zgłoszeń, rozgłos w środowisku twórczym oraz medialnym, zachęciły markę do zorganizowana drugiej edycji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zyskała szerokie wsparcie medialne i PR, w tym zasięgową kampanię internetową, również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Patronat merytoryczny nad konkursem objęły warszawska Akademia Sztuk Pięknych oraz Stowarzyszenie Twórców Grafiki Użytkowej. Patronem medialnym zostały magazyny GALA i Packaging Polska. Kreacje na potrzeby promocji akcji przygotowała agencja Expansja Advertising.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2026-03-03T06:05:26+01:00</dcterms:created>
  <dcterms:modified xsi:type="dcterms:W3CDTF">2026-03-03T06:05:26+01:00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