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Stylowe Śliwkobranie loteria - marki Solidarność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Marka Solidarność po raz kolejny organizuje ogólnopolską loterię konsumencką. Tym razem smakosze Śliwki Nałęczowskiej będą mogli wziąć udział w Stylowym Śliwkobraniu. Akcja potrwa od 1 września do 30 listopada br. W puli nagród znalazło się ponad 3000 gadżetów inspirowanych Śliwką Nałęczowską oraz Fiat 500.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Warunkiem wzięcia udziału 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Stylowym Śliwkobraniu</w:t>
      </w:r>
      <w:r>
        <w:rPr>
          <w:rFonts w:ascii="calibri" w:hAnsi="calibri" w:eastAsia="calibri" w:cs="calibri"/>
          <w:sz w:val="24"/>
          <w:szCs w:val="24"/>
        </w:rPr>
        <w:t xml:space="preserve"> jest zakup dowolnego opakowania Śliwki Nałęczowskiej za kwotę co najmniej 7,99 złotego, zachowanie paragonu oraz wysłanie SMS-a, bądź zarejestrowanie się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www.sliwkobranie.pl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Zgłoszenia można przesyłać od 1 września do końca listopada br.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Przewidziana pula nagród w akcji konsumenckiej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ma wartość blisko 120 tysięcy złotych. Codziennie do wygrania są maksymalnie 34 gadżety inspirowane Śliwką Nałęczowską, co w ciągu dwóch miesięcy loterii daje ponad 3000 nagród z kolekcji Śliwki Nałęczowskiej. Nagroda główna - kultowy Fiat 500 o wartości ponad 50 tysięcy złotych zostanie rozlosowana 6 grudnia br.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projekty konkursowych gadżetów odpowiada laureatka ogólnopolskiego konkursu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Design by Śliwka Nałęczowska</w:t>
      </w:r>
      <w:r>
        <w:rPr>
          <w:rFonts w:ascii="calibri" w:hAnsi="calibri" w:eastAsia="calibri" w:cs="calibri"/>
          <w:sz w:val="24"/>
          <w:szCs w:val="24"/>
        </w:rPr>
        <w:t xml:space="preserve">. Pasjonatka mody i designu stworzyła projekty graficzne m.in. kubka i apaszki, zainspirowane opakowaniem Śliwki Nałęczowskiej.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Loteria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Stylowe Śliwkobranie</w:t>
      </w:r>
      <w:r>
        <w:rPr>
          <w:rFonts w:ascii="calibri" w:hAnsi="calibri" w:eastAsia="calibri" w:cs="calibri"/>
          <w:sz w:val="24"/>
          <w:szCs w:val="24"/>
        </w:rPr>
        <w:t xml:space="preserve"> będzie wspierana w punktach sprzedaży dedykowanymi standami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Otrzyma również szerokie wsparcie medialne i PR, w tym kampanię displayową, aktywności w social mediach, promocję w kanałach marki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Śliwka Nałęczowska</w:t>
      </w:r>
      <w:r>
        <w:rPr>
          <w:rFonts w:ascii="calibri" w:hAnsi="calibri" w:eastAsia="calibri" w:cs="calibri"/>
          <w:sz w:val="24"/>
          <w:szCs w:val="24"/>
        </w:rPr>
        <w:t xml:space="preserve"> oraz sponsoring popularnych programów. Strategię, kreację i całość działań mediowych przygotowała agencja Initiative, obsługę konkursu zapewnia KORE. Działania PR prowadzi agencja Kolterman Media Communications.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sliwkobranie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2026-09-04T05:48:36+02:00</dcterms:created>
  <dcterms:modified xsi:type="dcterms:W3CDTF">2026-09-04T05:48:36+02:00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