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Śliwkobranie loteria -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po raz kolejny organizuje ogólnopolską loterię konsumencką. Tym razem smakosze Śliwki Nałęczowskiej będą mogli wziąć udział w Stylowym Śliwkobraniu. Akcja potrwa od 1 września do 30 listopada br. W puli nagród znalazło się ponad 3000 gadżetów inspirowanych Śliwką Nałęczowską oraz Fiat 500.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wzięcia udziału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Stylowym Śliwkobraniu</w:t>
      </w:r>
      <w:r>
        <w:rPr>
          <w:rFonts w:ascii="calibri" w:hAnsi="calibri" w:eastAsia="calibri" w:cs="calibri"/>
          <w:sz w:val="24"/>
          <w:szCs w:val="24"/>
        </w:rPr>
        <w:t xml:space="preserve"> jest zakup dowolnego opakowania Śliwki Nałęczowskiej za kwotę co najmniej 7,99 złotego, zachowanie paragonu oraz wysłanie SMS-a, bądź zarejestrowanie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www.sliwkobranie.pl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można przesyłać od 1 września do końca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Przewidziana pula nagród w akcji konsumenckiej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wartość blisko 120 tysięcy złotych. Codziennie do wygrania są maksymalnie 34 gadżety inspirowane Śliwką Nałęczowską, co w ciągu dwóch miesięcy loterii daje ponad 3000 nagród z kolekcji Śliwki Nałęczowskiej. Nagroda główna - kultowy Fiat 500 o wartości ponad 50 tysięcy złotych zostanie rozlosowana 6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projekty konkursowych gadżetów odpowiada laureatka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. Pasjonatka mody i designu stworzyła projekty graficzne m.in. kubka i apaszki, zainspirowane opakowaniem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 Śliwkobranie</w:t>
      </w:r>
      <w:r>
        <w:rPr>
          <w:rFonts w:ascii="calibri" w:hAnsi="calibri" w:eastAsia="calibri" w:cs="calibri"/>
          <w:sz w:val="24"/>
          <w:szCs w:val="24"/>
        </w:rPr>
        <w:t xml:space="preserve"> będzie wspierana w punktach sprzedaży dedykowanymi standami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Otrzyma również szerokie wsparcie medialne i PR, w tym kampanię displayową, aktywności w social mediach, promocję w kanałach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oraz sponsoring popularnych programów. Strategię, kreację i całość działań mediowych przygotowała agencja Initiative, obsługę konkursu zapewnia KORE.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ob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2026-07-05T05:49:02+02:00</dcterms:created>
  <dcterms:modified xsi:type="dcterms:W3CDTF">2026-07-05T05:49:02+02:00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