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ogólnopolska kampania BIC Kids Dla Twojego Małego Artysty!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dziecko jest Małym Artystą, a każdy jego rysunek małym dziełem sztuki – to założenie tegorocznej komunikacji marki BIC Kids w okresie powrotu do szkoły. W ogólnopolskiej kampanii pod hasłem „Dla Twojego Małego Artysty!”, która potrwa od połowy lipca do września br., marka koncentruje się na przekazie, że rysowanie jest fantastyczną aktywnością, która przynosi dzieciom i rodzicom mnóstwo korzyści.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BIC Kids</w:t>
      </w:r>
      <w:r>
        <w:rPr>
          <w:rFonts w:ascii="calibri" w:hAnsi="calibri" w:eastAsia="calibri" w:cs="calibri"/>
          <w:sz w:val="24"/>
          <w:szCs w:val="24"/>
        </w:rPr>
        <w:t xml:space="preserve"> powstała z myślą o wspieraniu rozwoju i kreatywności dzieci. Oferuje m.in. kredki ołówkowe, kredki świecowe, pastele olejne i flamastry, które zostały zaprojektowane przez zespół ekspertów w dziedzinie psychomotoryki i ergonomii tak, by wspomagać sprawność małych rączek i ułatwiać naukę pisania. Dzięki produktom BIC Kids każdy Mały Artysta może rozwijać się podczas zabawy i swobodnego rysowania.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Przekaz kampanii</w:t>
      </w:r>
      <w:r>
        <w:rPr>
          <w:rFonts w:ascii="calibri" w:hAnsi="calibri" w:eastAsia="calibri" w:cs="calibri"/>
          <w:sz w:val="24"/>
          <w:szCs w:val="24"/>
        </w:rPr>
        <w:t xml:space="preserve"> „Dla Twojego Małego Artysty!” podkreśla fakt, że należy doceniać i wspierać każde dziecko w jego rozwoju i twórczym działaniu. Inspirując i stawiając pytania, marka zachęca do refleksji i pobudza do kreatywnej aktywności. Przekonanie, że w każdym dziecku tkwi potencjał Małego Artysty, który odpowiednio wspierany, może stać się źródłem niesamowitej satysfakcji zarówno dla maluchów, jak i ich rodziców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to kluczowy przekaz zaplanowanych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obejmie kampanie digitalową i influencerską, wsparcie PR oraz aktywacje w punktach sprzedaży. Jej celem jest wzmocnienie świadomości marki BIC Kids wśród rodziców dzieci w wieku przedszkolnym i szkolnym.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</w:rPr>
        <w:t xml:space="preserve">kampanii digitalowej</w:t>
      </w:r>
      <w:r>
        <w:rPr>
          <w:rFonts w:ascii="calibri" w:hAnsi="calibri" w:eastAsia="calibri" w:cs="calibri"/>
          <w:sz w:val="24"/>
          <w:szCs w:val="24"/>
        </w:rPr>
        <w:t xml:space="preserve"> marka będzie obecna m.in. w mediach społecznościowych, na YouTubie, Instagramie i platformach VOD. Do akcji zaproszono także influencerów. Komunikację wzmocnią działania PR oraz dedykowane materiały POS, w tym spektakularne ekspozycje (galerie sztuki, bramy), w punktach sprzedaży. Na potrzeby </w:t>
      </w:r>
      <w:r>
        <w:rPr>
          <w:rFonts w:ascii="calibri" w:hAnsi="calibri" w:eastAsia="calibri" w:cs="calibri"/>
          <w:sz w:val="24"/>
          <w:szCs w:val="24"/>
          <w:b/>
        </w:rPr>
        <w:t xml:space="preserve">aktywacji w dużych sieciach handlowych</w:t>
      </w:r>
      <w:r>
        <w:rPr>
          <w:rFonts w:ascii="calibri" w:hAnsi="calibri" w:eastAsia="calibri" w:cs="calibri"/>
          <w:sz w:val="24"/>
          <w:szCs w:val="24"/>
        </w:rPr>
        <w:t xml:space="preserve">, w sieciach lokalnych i sklepach papierniczych w całej Polsce, przygotowano gadżet – ramkę magnetyczną, w którą można oprawić pracę Małego Artysty. Ramki będą dostępne przy zakupie produktów o określonej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i filmy na potrzeby kampanii digitalowej przygotowały agencje Helikopter i Columbit, media zakupił dom mediowy OMD. Działania PR realizuje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2024-04-29T19:17:38+02:00</dcterms:created>
  <dcterms:modified xsi:type="dcterms:W3CDTF">2024-04-29T19:17:38+02:00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