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zostać EKObohaterem?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Wystarczy każdego dnia zmieniać drobne czynności na bardziej przyjazne dla środowiska, by mieć wpływ na poprawę stanu naszej planety. Każdy może zostać EKObohaterem, metodą małych kroków, wcielając w życie proste zasady. Od czego zacząć?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Wystarczy </w:t>
      </w:r>
      <w:r>
        <w:rPr>
          <w:rFonts w:ascii="calibri" w:hAnsi="calibri" w:eastAsia="calibri" w:cs="calibri"/>
          <w:sz w:val="24"/>
          <w:szCs w:val="24"/>
          <w:b/>
        </w:rPr>
        <w:t xml:space="preserve">każdego dnia zmieniać drobne czynności na bardziej przyjazne dla środowiska, by mieć wpływ na poprawę stanu naszej planety. Każdy może zostać EKObohaterem, metodą małych kroków, wcielając w życie proste zasady. Od czego zacząć?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Wybieraj produkty z surowców wtórnych oraz takie, które posłużą Ci dłużej. Zamiast wyrzucać, przetwarzaj i wykorzystuj ponownie. Wymień wkład w długopisie, sięgnij po klej w opakowaniu w 100% z przetworzonego plastiku, a słoik po dżemie kreatywnie zamień w organizer na kredki. Bądź uważny na co dzień – wyłączaj światło, gdy wychodzisz z pomieszczenia, zakręcaj kran myjąc zęby. Naucz się prawidłowo segregować śmieci i trzymaj się zasad. Do sklepu zabieraj własne siatki, by ograniczyć kupowanie jednorazówek, a te, które już masz, wykorzystuj wielokrotnie. Dbaj o zieleń i wspieraj zapylacze, np. wysiewając łąki kwietne na nieużytkach w swoim otoczeniu albo… na własnym balkonie.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Zmieniając sposób myślenia, codzienne wybory i małe czynności na bardziej eko, możesz mieć swój wkład w przeciwdziałanie globalnym problemom, takim jak ocieplanie się klimatu czy powstawanie wyspy śmieci na oceanie. Wprowadzanie zmian zacznij od siebie już dziś.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Okres powrotu do szkoły to świetna okazja, by planując wyprawkę szkolną sięgnąć po ofertę producenta, który realizuje politykę proekologiczną. Linia produktów szkolno-biurowych BIC ECOlutions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została zaprojektowana tak, by chronić naturalne zasoby naszej planety. Należące do niej długopisy, ołówki, kredki, markery, kleje czy korektory zostały wykonane w 35% do 100% z surowców wtórnych. Co więcej, do końca roku opakowania wszystkich produktów z tej linii zostaną wymienione na kartonowe, w pełni nadające się do ponownego przetworzenia. I co ważne, ceny produktów z linii eko, wcale nie są wyższe w porównaniu do standardowej oferty marki!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Każdy ma wpływ na zieloną przyszłość naszej planety, a w małych gestach tkwi ogromna siła. Wybierając świadomie, zmieniając codzienne nawyki i własne otoczenie, każdy może zostać EKObohaterem. O tym przekonuje BIC wraz Sarą i Wiktorem z kanału na YouTube „Zaczarowany Świat Sary” – ambasadorami tegorocznej kampanii marki w okresie powrotu do szkoły.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Mnóstwo ekoinspiracji i niespodzianek do odkrycia na stronie kampanii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www.zostanEKObohaterem.pl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***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BIC® </w:t>
      </w:r>
      <w:r>
        <w:rPr>
          <w:rFonts w:ascii="calibri" w:hAnsi="calibri" w:eastAsia="calibri" w:cs="calibri"/>
          <w:sz w:val="24"/>
          <w:szCs w:val="24"/>
          <w:b/>
        </w:rPr>
        <w:t xml:space="preserve">– </w:t>
      </w:r>
      <w:r>
        <w:rPr>
          <w:rFonts w:ascii="calibri" w:hAnsi="calibri" w:eastAsia="calibri" w:cs="calibri"/>
          <w:sz w:val="24"/>
          <w:szCs w:val="24"/>
        </w:rPr>
        <w:t xml:space="preserve">światowy lider w kategorii produktów szkolno-biurowych, zapalniczek i maszynek do golenia wnosi prostotę i radość do codziennego życia. Od ponad 75 lat zapewnia wysokiej jakości produkty w przystępnej cenie, które są dostępne dla konsumentów na wyciągnięcie ręki. Na przestrzeni lat BIC</w:t>
      </w: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®</w:t>
      </w:r>
      <w:r>
        <w:rPr>
          <w:rFonts w:ascii="calibri" w:hAnsi="calibri" w:eastAsia="calibri" w:cs="calibri"/>
          <w:sz w:val="24"/>
          <w:szCs w:val="24"/>
        </w:rPr>
        <w:t xml:space="preserve"> stał się jedną z najbardziej rozpoznawalnych marek oraz znakiem towarowym zarejestrowanym na całym świecie. Dziś produkty BIC sprzedawane są w ponad 160 krajach świata, a wśród kultowych marek znajdziemy: BIC Kids™, BIC </w:t>
      </w:r>
      <w:r>
        <w:rPr>
          <w:rFonts w:ascii="calibri" w:hAnsi="calibri" w:eastAsia="calibri" w:cs="calibri"/>
          <w:sz w:val="24"/>
          <w:szCs w:val="24"/>
        </w:rPr>
        <w:t xml:space="preserve">Flex</w:t>
      </w: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TM</w:t>
      </w:r>
      <w:r>
        <w:rPr>
          <w:rFonts w:ascii="calibri" w:hAnsi="calibri" w:eastAsia="calibri" w:cs="calibri"/>
          <w:sz w:val="24"/>
          <w:szCs w:val="24"/>
        </w:rPr>
        <w:t xml:space="preserve">, </w:t>
      </w:r>
      <w:r>
        <w:rPr>
          <w:rFonts w:ascii="calibri" w:hAnsi="calibri" w:eastAsia="calibri" w:cs="calibri"/>
          <w:sz w:val="24"/>
          <w:szCs w:val="24"/>
        </w:rPr>
        <w:t xml:space="preserve">BodyMark</w:t>
      </w:r>
      <w:r>
        <w:rPr>
          <w:rFonts w:ascii="calibri" w:hAnsi="calibri" w:eastAsia="calibri" w:cs="calibri"/>
          <w:sz w:val="24"/>
          <w:szCs w:val="24"/>
        </w:rPr>
        <w:t xml:space="preserve"> by BIC</w:t>
      </w: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TM</w:t>
      </w:r>
      <w:r>
        <w:rPr>
          <w:rFonts w:ascii="calibri" w:hAnsi="calibri" w:eastAsia="calibri" w:cs="calibri"/>
          <w:sz w:val="24"/>
          <w:szCs w:val="24"/>
        </w:rPr>
        <w:t xml:space="preserve">, Cello</w:t>
      </w: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®</w:t>
      </w:r>
      <w:r>
        <w:rPr>
          <w:rFonts w:ascii="calibri" w:hAnsi="calibri" w:eastAsia="calibri" w:cs="calibri"/>
          <w:sz w:val="24"/>
          <w:szCs w:val="24"/>
        </w:rPr>
        <w:t xml:space="preserve">, </w:t>
      </w:r>
      <w:r>
        <w:rPr>
          <w:rFonts w:ascii="calibri" w:hAnsi="calibri" w:eastAsia="calibri" w:cs="calibri"/>
          <w:sz w:val="24"/>
          <w:szCs w:val="24"/>
        </w:rPr>
        <w:t xml:space="preserve">Djeep</w:t>
      </w:r>
      <w:r>
        <w:rPr>
          <w:rFonts w:ascii="calibri" w:hAnsi="calibri" w:eastAsia="calibri" w:cs="calibri"/>
          <w:sz w:val="24"/>
          <w:szCs w:val="24"/>
        </w:rPr>
        <w:t xml:space="preserve">, Lucky Stationery, Rocketbook, Soleil</w:t>
      </w: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®</w:t>
      </w:r>
      <w:r>
        <w:rPr>
          <w:rFonts w:ascii="calibri" w:hAnsi="calibri" w:eastAsia="calibri" w:cs="calibri"/>
          <w:sz w:val="24"/>
          <w:szCs w:val="24"/>
        </w:rPr>
        <w:t xml:space="preserve">, Tipp-Ex</w:t>
      </w: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®</w:t>
      </w:r>
      <w:r>
        <w:rPr>
          <w:rFonts w:ascii="calibri" w:hAnsi="calibri" w:eastAsia="calibri" w:cs="calibri"/>
          <w:sz w:val="24"/>
          <w:szCs w:val="24"/>
        </w:rPr>
        <w:t xml:space="preserve">, Us. </w:t>
      </w: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TM</w:t>
      </w:r>
      <w:r>
        <w:rPr>
          <w:rFonts w:ascii="calibri" w:hAnsi="calibri" w:eastAsia="calibri" w:cs="calibri"/>
          <w:sz w:val="24"/>
          <w:szCs w:val="24"/>
        </w:rPr>
        <w:t xml:space="preserve">, </w:t>
      </w:r>
      <w:r>
        <w:rPr>
          <w:rFonts w:ascii="calibri" w:hAnsi="calibri" w:eastAsia="calibri" w:cs="calibri"/>
          <w:sz w:val="24"/>
          <w:szCs w:val="24"/>
        </w:rPr>
        <w:t xml:space="preserve">Wite</w:t>
      </w:r>
      <w:r>
        <w:rPr>
          <w:rFonts w:ascii="calibri" w:hAnsi="calibri" w:eastAsia="calibri" w:cs="calibri"/>
          <w:sz w:val="24"/>
          <w:szCs w:val="24"/>
        </w:rPr>
        <w:t xml:space="preserve">-Out</w:t>
      </w: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® </w:t>
      </w:r>
      <w:r>
        <w:rPr>
          <w:rFonts w:ascii="calibri" w:hAnsi="calibri" w:eastAsia="calibri" w:cs="calibri"/>
          <w:sz w:val="24"/>
          <w:szCs w:val="24"/>
        </w:rPr>
        <w:t xml:space="preserve">i inne. W 2020 roku sprzedaż netto BIC wyniosła 1627,9 mln euro. Spółka jest notowana na „Euronext Paris”, wchodzi w skład indeksów SBF120 i CAC Mid 60 i jest doceniana za swoje zaangażowanie w zrównoważony rozwój i edukację. Aby uzyskać więcej informacji, odwiedź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about.bic.com</w:t>
        </w:r>
      </w:hyperlink>
      <w:r>
        <w:rPr>
          <w:rFonts w:ascii="calibri" w:hAnsi="calibri" w:eastAsia="calibri" w:cs="calibri"/>
          <w:sz w:val="24"/>
          <w:szCs w:val="24"/>
        </w:rPr>
        <w:t xml:space="preserve"> lub śledź nas na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LinkedIn</w:t>
        </w:r>
      </w:hyperlink>
      <w:r>
        <w:rPr>
          <w:rFonts w:ascii="calibri" w:hAnsi="calibri" w:eastAsia="calibri" w:cs="calibri"/>
          <w:sz w:val="24"/>
          <w:szCs w:val="24"/>
        </w:rPr>
        <w:t xml:space="preserve">,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Instagram</w:t>
        </w:r>
      </w:hyperlink>
      <w:r>
        <w:rPr>
          <w:rFonts w:ascii="calibri" w:hAnsi="calibri" w:eastAsia="calibri" w:cs="calibri"/>
          <w:sz w:val="24"/>
          <w:szCs w:val="24"/>
        </w:rPr>
        <w:t xml:space="preserve">ie</w:t>
      </w:r>
      <w:r>
        <w:rPr>
          <w:rFonts w:ascii="calibri" w:hAnsi="calibri" w:eastAsia="calibri" w:cs="calibri"/>
          <w:sz w:val="24"/>
          <w:szCs w:val="24"/>
        </w:rPr>
        <w:t xml:space="preserve">,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Twitter</w:t>
        </w:r>
      </w:hyperlink>
      <w:r>
        <w:rPr>
          <w:rFonts w:ascii="calibri" w:hAnsi="calibri" w:eastAsia="calibri" w:cs="calibri"/>
          <w:sz w:val="24"/>
          <w:szCs w:val="24"/>
        </w:rPr>
        <w:t xml:space="preserve">ze</w:t>
      </w:r>
      <w:r>
        <w:rPr>
          <w:rFonts w:ascii="calibri" w:hAnsi="calibri" w:eastAsia="calibri" w:cs="calibri"/>
          <w:sz w:val="24"/>
          <w:szCs w:val="24"/>
        </w:rPr>
        <w:t xml:space="preserve">, lub </w:t>
      </w: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YouTube</w:t>
        </w:r>
      </w:hyperlink>
      <w:r>
        <w:rPr>
          <w:rFonts w:ascii="calibri" w:hAnsi="calibri" w:eastAsia="calibri" w:cs="calibri"/>
          <w:sz w:val="24"/>
          <w:szCs w:val="24"/>
        </w:rPr>
        <w:t xml:space="preserve">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zostanEKObohaterem.pl" TargetMode="External"/><Relationship Id="rId8" Type="http://schemas.openxmlformats.org/officeDocument/2006/relationships/hyperlink" Target="https://us.bic.com/en_us/about_bic" TargetMode="External"/><Relationship Id="rId9" Type="http://schemas.openxmlformats.org/officeDocument/2006/relationships/hyperlink" Target="https://www.linkedin.com/company/bic" TargetMode="External"/><Relationship Id="rId10" Type="http://schemas.openxmlformats.org/officeDocument/2006/relationships/hyperlink" Target="https://www.instagram.com/bic_group/" TargetMode="External"/><Relationship Id="rId11" Type="http://schemas.openxmlformats.org/officeDocument/2006/relationships/hyperlink" Target="https://twitter.com/BicGroup" TargetMode="External"/><Relationship Id="rId12" Type="http://schemas.openxmlformats.org/officeDocument/2006/relationships/hyperlink" Target="https://www.youtube.com/channel/UCuB7Gpwv0fJZWzYy2lJNZ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2024-05-19T01:12:49+02:00</dcterms:created>
  <dcterms:modified xsi:type="dcterms:W3CDTF">2024-05-19T01:12:49+02:00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